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E059" w14:textId="0FA4A71C" w:rsidR="003F58A9" w:rsidRPr="00A81A84" w:rsidRDefault="003F58A9" w:rsidP="003F58A9">
      <w:pPr>
        <w:rPr>
          <w:rFonts w:asciiTheme="minorHAnsi" w:hAnsiTheme="minorHAnsi"/>
          <w:b/>
          <w:i/>
          <w:sz w:val="28"/>
          <w:szCs w:val="28"/>
        </w:rPr>
      </w:pPr>
      <w:r w:rsidRPr="00A81A84">
        <w:rPr>
          <w:rFonts w:asciiTheme="minorHAnsi" w:hAnsiTheme="minorHAnsi"/>
          <w:b/>
          <w:i/>
          <w:sz w:val="28"/>
          <w:szCs w:val="28"/>
        </w:rPr>
        <w:t>Noter til Universite</w:t>
      </w:r>
      <w:r>
        <w:rPr>
          <w:rFonts w:asciiTheme="minorHAnsi" w:hAnsiTheme="minorHAnsi"/>
          <w:b/>
          <w:i/>
          <w:sz w:val="28"/>
          <w:szCs w:val="28"/>
        </w:rPr>
        <w:t>ternes Statistiske Beredskab 202</w:t>
      </w:r>
      <w:r w:rsidR="00F020DD">
        <w:rPr>
          <w:rFonts w:asciiTheme="minorHAnsi" w:hAnsiTheme="minorHAnsi"/>
          <w:b/>
          <w:i/>
          <w:sz w:val="28"/>
          <w:szCs w:val="28"/>
        </w:rPr>
        <w:t>2</w:t>
      </w:r>
    </w:p>
    <w:p w14:paraId="4C7C672F" w14:textId="77777777" w:rsidR="003F58A9" w:rsidRPr="00A81A84" w:rsidRDefault="003F58A9" w:rsidP="003F58A9">
      <w:pPr>
        <w:rPr>
          <w:rFonts w:asciiTheme="minorHAnsi" w:hAnsiTheme="minorHAnsi"/>
          <w:sz w:val="22"/>
          <w:szCs w:val="22"/>
        </w:rPr>
      </w:pPr>
    </w:p>
    <w:p w14:paraId="5B8F6065" w14:textId="77777777" w:rsidR="003F58A9" w:rsidRPr="00A81A84" w:rsidRDefault="003F58A9" w:rsidP="003F58A9">
      <w:pPr>
        <w:rPr>
          <w:rFonts w:asciiTheme="minorHAnsi" w:hAnsiTheme="minorHAnsi"/>
          <w:b/>
          <w:sz w:val="28"/>
          <w:szCs w:val="28"/>
          <w:u w:val="single"/>
        </w:rPr>
      </w:pPr>
      <w:r w:rsidRPr="00A81A84">
        <w:rPr>
          <w:rFonts w:asciiTheme="minorHAnsi" w:hAnsiTheme="minorHAnsi"/>
          <w:b/>
          <w:sz w:val="28"/>
          <w:szCs w:val="28"/>
          <w:u w:val="single"/>
        </w:rPr>
        <w:t>Indledende bemærkninger til beredskabet</w:t>
      </w:r>
    </w:p>
    <w:p w14:paraId="2671F93B" w14:textId="77777777" w:rsidR="003F58A9" w:rsidRDefault="003F58A9" w:rsidP="003F58A9">
      <w:pPr>
        <w:jc w:val="both"/>
        <w:rPr>
          <w:rFonts w:asciiTheme="minorHAnsi" w:hAnsiTheme="minorHAnsi" w:cstheme="minorHAnsi"/>
          <w:sz w:val="22"/>
          <w:szCs w:val="22"/>
        </w:rPr>
      </w:pPr>
      <w:r>
        <w:rPr>
          <w:rFonts w:asciiTheme="minorHAnsi" w:hAnsiTheme="minorHAnsi" w:cstheme="minorHAnsi"/>
          <w:sz w:val="22"/>
          <w:szCs w:val="22"/>
        </w:rPr>
        <w:t>Universiteternes Statistiske Beredskab er en samling af statistik, som Danske Universiteter har indsamlet og udgivet siden 2005. Beredskabet er løbende blevet udbygget og tilpasset siden. Det aktuelle beredskab indeholder tidsserier fra 2007 og frem. Dette er pga. de store fusioner i 2006-07, som er skyld i et databrud. De ældre statistikker fra 2005 og 2006 ligger i et gammelt format på Danske Universiteters hjemmeside.</w:t>
      </w:r>
    </w:p>
    <w:p w14:paraId="7D730D8B" w14:textId="77777777" w:rsidR="003F58A9" w:rsidRDefault="003F58A9" w:rsidP="003F58A9">
      <w:pPr>
        <w:jc w:val="both"/>
        <w:rPr>
          <w:rFonts w:asciiTheme="minorHAnsi" w:hAnsiTheme="minorHAnsi" w:cstheme="minorHAnsi"/>
          <w:sz w:val="22"/>
          <w:szCs w:val="22"/>
        </w:rPr>
      </w:pPr>
    </w:p>
    <w:p w14:paraId="41DB87C7" w14:textId="77777777" w:rsidR="003F58A9" w:rsidRDefault="003F58A9" w:rsidP="003F58A9">
      <w:pPr>
        <w:jc w:val="both"/>
        <w:rPr>
          <w:rFonts w:asciiTheme="minorHAnsi" w:hAnsiTheme="minorHAnsi" w:cstheme="minorHAnsi"/>
          <w:sz w:val="22"/>
          <w:szCs w:val="22"/>
        </w:rPr>
      </w:pPr>
      <w:r>
        <w:rPr>
          <w:rFonts w:asciiTheme="minorHAnsi" w:hAnsiTheme="minorHAnsi" w:cstheme="minorHAnsi"/>
          <w:sz w:val="22"/>
          <w:szCs w:val="22"/>
        </w:rPr>
        <w:t>Beredskabet bliver udgivet to gange om året – i marts måned bliver studienøgletallene fra det forgangne studieår opdateret, og i juni måned bliver statistik fra det forrige regnskabsår opdateret.</w:t>
      </w:r>
    </w:p>
    <w:p w14:paraId="1DF4C7EB" w14:textId="77777777" w:rsidR="003F58A9" w:rsidRDefault="003F58A9" w:rsidP="003F58A9">
      <w:pPr>
        <w:jc w:val="both"/>
        <w:rPr>
          <w:rFonts w:asciiTheme="minorHAnsi" w:hAnsiTheme="minorHAnsi" w:cstheme="minorHAnsi"/>
          <w:sz w:val="22"/>
          <w:szCs w:val="22"/>
        </w:rPr>
      </w:pPr>
    </w:p>
    <w:p w14:paraId="52A6480E" w14:textId="77777777" w:rsidR="003F58A9" w:rsidRPr="003D7E55" w:rsidRDefault="003F58A9" w:rsidP="003F58A9">
      <w:pPr>
        <w:jc w:val="both"/>
        <w:rPr>
          <w:rFonts w:asciiTheme="minorHAnsi" w:hAnsiTheme="minorHAnsi" w:cstheme="minorHAnsi"/>
          <w:b/>
          <w:sz w:val="28"/>
          <w:szCs w:val="28"/>
          <w:u w:val="single"/>
        </w:rPr>
      </w:pPr>
      <w:r w:rsidRPr="003D7E55">
        <w:rPr>
          <w:rFonts w:asciiTheme="minorHAnsi" w:hAnsiTheme="minorHAnsi" w:cstheme="minorHAnsi"/>
          <w:b/>
          <w:sz w:val="28"/>
          <w:szCs w:val="28"/>
          <w:u w:val="single"/>
        </w:rPr>
        <w:t>Tabeloversigt</w:t>
      </w:r>
    </w:p>
    <w:p w14:paraId="50271814" w14:textId="77777777" w:rsidR="003F58A9" w:rsidRDefault="003F58A9" w:rsidP="003F58A9">
      <w:pPr>
        <w:jc w:val="both"/>
        <w:rPr>
          <w:rFonts w:asciiTheme="minorHAnsi" w:hAnsiTheme="minorHAnsi"/>
          <w:sz w:val="22"/>
          <w:szCs w:val="22"/>
        </w:rPr>
      </w:pPr>
      <w:r>
        <w:rPr>
          <w:rFonts w:asciiTheme="minorHAnsi" w:hAnsiTheme="minorHAnsi"/>
          <w:sz w:val="22"/>
          <w:szCs w:val="22"/>
        </w:rPr>
        <w:t>Beredskabet udgøres samlet set af følgende tabeller:</w:t>
      </w:r>
    </w:p>
    <w:p w14:paraId="06D38CB0" w14:textId="77777777" w:rsidR="003F58A9" w:rsidRPr="00767D83" w:rsidRDefault="003F58A9" w:rsidP="003F58A9">
      <w:pPr>
        <w:jc w:val="both"/>
        <w:rPr>
          <w:rFonts w:asciiTheme="minorHAnsi" w:hAnsiTheme="minorHAnsi"/>
          <w:sz w:val="22"/>
          <w:szCs w:val="22"/>
        </w:rPr>
      </w:pPr>
    </w:p>
    <w:p w14:paraId="7CC8F21B"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A. Indtægter</w:t>
      </w:r>
    </w:p>
    <w:p w14:paraId="43FD0286"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C. Personale</w:t>
      </w:r>
    </w:p>
    <w:p w14:paraId="5C56AD50" w14:textId="77777777" w:rsidR="003F58A9" w:rsidRDefault="003F58A9" w:rsidP="003F58A9">
      <w:pPr>
        <w:jc w:val="both"/>
        <w:rPr>
          <w:rFonts w:asciiTheme="minorHAnsi" w:hAnsiTheme="minorHAnsi"/>
          <w:sz w:val="22"/>
          <w:szCs w:val="22"/>
        </w:rPr>
      </w:pPr>
      <w:r w:rsidRPr="00767D83">
        <w:rPr>
          <w:rFonts w:asciiTheme="minorHAnsi" w:hAnsiTheme="minorHAnsi"/>
          <w:sz w:val="22"/>
          <w:szCs w:val="22"/>
        </w:rPr>
        <w:t xml:space="preserve">D. </w:t>
      </w:r>
      <w:r>
        <w:rPr>
          <w:rFonts w:asciiTheme="minorHAnsi" w:hAnsiTheme="minorHAnsi"/>
          <w:sz w:val="22"/>
          <w:szCs w:val="22"/>
        </w:rPr>
        <w:t>Ba</w:t>
      </w:r>
      <w:r w:rsidRPr="00767D83">
        <w:rPr>
          <w:rFonts w:asciiTheme="minorHAnsi" w:hAnsiTheme="minorHAnsi"/>
          <w:sz w:val="22"/>
          <w:szCs w:val="22"/>
        </w:rPr>
        <w:t>lance</w:t>
      </w:r>
    </w:p>
    <w:p w14:paraId="0443BFB7" w14:textId="77777777" w:rsidR="003F58A9" w:rsidRDefault="003F58A9" w:rsidP="003F58A9">
      <w:pPr>
        <w:jc w:val="both"/>
        <w:rPr>
          <w:rFonts w:asciiTheme="minorHAnsi" w:hAnsiTheme="minorHAnsi"/>
          <w:sz w:val="22"/>
          <w:szCs w:val="22"/>
        </w:rPr>
      </w:pPr>
      <w:r w:rsidRPr="00767D83">
        <w:rPr>
          <w:rFonts w:asciiTheme="minorHAnsi" w:hAnsiTheme="minorHAnsi"/>
          <w:sz w:val="22"/>
          <w:szCs w:val="22"/>
        </w:rPr>
        <w:t>E. Bygninger</w:t>
      </w:r>
    </w:p>
    <w:p w14:paraId="361E874E"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F. Studieaktivitet</w:t>
      </w:r>
    </w:p>
    <w:p w14:paraId="4C397B2D"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G. Gennemførsel</w:t>
      </w:r>
    </w:p>
    <w:p w14:paraId="54373DE5"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H. Internationalisering</w:t>
      </w:r>
    </w:p>
    <w:p w14:paraId="664E5E25"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I. Forskeruddannelse</w:t>
      </w:r>
    </w:p>
    <w:p w14:paraId="677E971E" w14:textId="77777777" w:rsidR="003F58A9" w:rsidRPr="00767D83" w:rsidRDefault="003F58A9" w:rsidP="003F58A9">
      <w:pPr>
        <w:jc w:val="both"/>
        <w:rPr>
          <w:rFonts w:asciiTheme="minorHAnsi" w:hAnsiTheme="minorHAnsi"/>
          <w:sz w:val="22"/>
          <w:szCs w:val="22"/>
        </w:rPr>
      </w:pPr>
      <w:r w:rsidRPr="00767D83">
        <w:rPr>
          <w:rFonts w:asciiTheme="minorHAnsi" w:hAnsiTheme="minorHAnsi"/>
          <w:sz w:val="22"/>
          <w:szCs w:val="22"/>
        </w:rPr>
        <w:t>K. Samarbejde</w:t>
      </w:r>
    </w:p>
    <w:p w14:paraId="7E784664" w14:textId="77777777" w:rsidR="003F58A9" w:rsidRDefault="003F58A9" w:rsidP="003F58A9">
      <w:pPr>
        <w:jc w:val="both"/>
        <w:rPr>
          <w:rFonts w:asciiTheme="minorHAnsi" w:hAnsiTheme="minorHAnsi"/>
          <w:sz w:val="22"/>
          <w:szCs w:val="22"/>
        </w:rPr>
      </w:pPr>
    </w:p>
    <w:p w14:paraId="67316B21" w14:textId="77777777" w:rsidR="003F58A9" w:rsidRDefault="003F58A9" w:rsidP="003F58A9">
      <w:pPr>
        <w:jc w:val="both"/>
        <w:rPr>
          <w:rFonts w:asciiTheme="minorHAnsi" w:hAnsiTheme="minorHAnsi"/>
          <w:sz w:val="22"/>
          <w:szCs w:val="22"/>
        </w:rPr>
      </w:pPr>
    </w:p>
    <w:p w14:paraId="6DE7B41E" w14:textId="77777777" w:rsidR="003F58A9" w:rsidRPr="001D0F79" w:rsidRDefault="003F58A9" w:rsidP="003F58A9">
      <w:pPr>
        <w:jc w:val="both"/>
        <w:rPr>
          <w:rFonts w:asciiTheme="minorHAnsi" w:hAnsiTheme="minorHAnsi"/>
          <w:b/>
          <w:sz w:val="28"/>
          <w:szCs w:val="28"/>
          <w:u w:val="single"/>
        </w:rPr>
      </w:pPr>
      <w:r w:rsidRPr="001D0F79">
        <w:rPr>
          <w:rFonts w:asciiTheme="minorHAnsi" w:hAnsiTheme="minorHAnsi"/>
          <w:b/>
          <w:sz w:val="28"/>
          <w:szCs w:val="28"/>
          <w:u w:val="single"/>
        </w:rPr>
        <w:t>Generelle noter</w:t>
      </w:r>
    </w:p>
    <w:p w14:paraId="6CF5C8A6" w14:textId="77777777" w:rsidR="003F58A9" w:rsidRDefault="003F58A9" w:rsidP="003F58A9">
      <w:pPr>
        <w:jc w:val="both"/>
        <w:rPr>
          <w:rFonts w:asciiTheme="minorHAnsi" w:hAnsiTheme="minorHAnsi" w:cstheme="minorHAnsi"/>
          <w:b/>
          <w:bCs/>
          <w:color w:val="1F497D"/>
        </w:rPr>
      </w:pPr>
      <w:r>
        <w:rPr>
          <w:rFonts w:asciiTheme="minorHAnsi" w:hAnsiTheme="minorHAnsi"/>
          <w:sz w:val="22"/>
          <w:szCs w:val="22"/>
        </w:rPr>
        <w:t xml:space="preserve">DTU fusionerede per 1. januar 2013 med Ingeniørhøjskolen i København (”IHK”). Derfor er det ikke alle tallene for bacheloruddannelserne fra DTU, der er direkte sammenlignelige med tal for foregående studieår. Dette uddybes herunder i noter til tabellerne. ”Ballerup Campus” dækker i denne forbindelse over de diplomingeniørstuderende, </w:t>
      </w:r>
      <w:r w:rsidRPr="00E52874">
        <w:rPr>
          <w:rFonts w:asciiTheme="minorHAnsi" w:hAnsiTheme="minorHAnsi" w:cstheme="minorHAnsi"/>
          <w:sz w:val="22"/>
          <w:szCs w:val="22"/>
        </w:rPr>
        <w:t>der tidligere var tilknyttet IHK.</w:t>
      </w:r>
      <w:r w:rsidRPr="00E52874">
        <w:rPr>
          <w:rFonts w:asciiTheme="minorHAnsi" w:hAnsiTheme="minorHAnsi" w:cstheme="minorHAnsi"/>
          <w:b/>
          <w:bCs/>
          <w:color w:val="1F497D"/>
        </w:rPr>
        <w:t xml:space="preserve"> </w:t>
      </w:r>
    </w:p>
    <w:p w14:paraId="2C1F7BEC" w14:textId="77777777" w:rsidR="003F58A9" w:rsidRDefault="003F58A9" w:rsidP="003F58A9">
      <w:pPr>
        <w:jc w:val="both"/>
        <w:rPr>
          <w:rFonts w:asciiTheme="minorHAnsi" w:hAnsiTheme="minorHAnsi" w:cstheme="minorHAnsi"/>
          <w:b/>
          <w:bCs/>
          <w:color w:val="1F497D"/>
        </w:rPr>
      </w:pPr>
    </w:p>
    <w:p w14:paraId="4EE1CAB3" w14:textId="77777777" w:rsidR="003F58A9" w:rsidRPr="00E52874" w:rsidRDefault="003F58A9" w:rsidP="003F58A9">
      <w:pPr>
        <w:jc w:val="both"/>
        <w:rPr>
          <w:rFonts w:asciiTheme="minorHAnsi" w:hAnsiTheme="minorHAnsi" w:cstheme="minorHAnsi"/>
          <w:b/>
          <w:bCs/>
          <w:color w:val="1F497D"/>
          <w:sz w:val="22"/>
        </w:rPr>
      </w:pPr>
      <w:r w:rsidRPr="00E52874">
        <w:rPr>
          <w:rFonts w:asciiTheme="minorHAnsi" w:hAnsiTheme="minorHAnsi" w:cstheme="minorHAnsi"/>
          <w:bCs/>
          <w:sz w:val="22"/>
          <w:szCs w:val="22"/>
        </w:rPr>
        <w:t>Aalborg Universitet indberetter fra og med 2020 de studiestatistiske nøgletal på samme hovedområder som anvendt af Uddannelses- og Forskningsministeriet. Fordelingen på hovedområder er baseret på Danmarks Statistiks uddannelseskoder. Dermed er hovedområderne</w:t>
      </w:r>
      <w:r>
        <w:rPr>
          <w:rFonts w:asciiTheme="minorHAnsi" w:hAnsiTheme="minorHAnsi" w:cstheme="minorHAnsi"/>
          <w:bCs/>
          <w:sz w:val="22"/>
          <w:szCs w:val="22"/>
        </w:rPr>
        <w:t>,</w:t>
      </w:r>
      <w:r w:rsidRPr="00E52874">
        <w:rPr>
          <w:rFonts w:asciiTheme="minorHAnsi" w:hAnsiTheme="minorHAnsi" w:cstheme="minorHAnsi"/>
          <w:bCs/>
          <w:sz w:val="22"/>
          <w:szCs w:val="22"/>
        </w:rPr>
        <w:t xml:space="preserve"> der indberettes på forskellige fra AAU’s fakultets</w:t>
      </w:r>
      <w:r>
        <w:rPr>
          <w:rFonts w:asciiTheme="minorHAnsi" w:hAnsiTheme="minorHAnsi" w:cstheme="minorHAnsi"/>
          <w:bCs/>
          <w:sz w:val="22"/>
          <w:szCs w:val="22"/>
        </w:rPr>
        <w:t>mæssige opdeling af uddannelser.</w:t>
      </w:r>
    </w:p>
    <w:p w14:paraId="472A172F" w14:textId="77777777" w:rsidR="003F58A9" w:rsidRDefault="003F58A9" w:rsidP="003F58A9">
      <w:pPr>
        <w:rPr>
          <w:rFonts w:asciiTheme="minorHAnsi" w:hAnsiTheme="minorHAnsi" w:cstheme="minorHAnsi"/>
          <w:b/>
          <w:sz w:val="28"/>
          <w:szCs w:val="22"/>
          <w:u w:val="single"/>
        </w:rPr>
      </w:pPr>
    </w:p>
    <w:p w14:paraId="34C83DF7" w14:textId="77777777" w:rsidR="003F58A9" w:rsidRDefault="003F58A9" w:rsidP="003F58A9">
      <w:pPr>
        <w:rPr>
          <w:rFonts w:asciiTheme="minorHAnsi" w:hAnsiTheme="minorHAnsi" w:cstheme="minorHAnsi"/>
          <w:b/>
          <w:sz w:val="28"/>
          <w:szCs w:val="22"/>
          <w:u w:val="single"/>
        </w:rPr>
      </w:pPr>
      <w:r w:rsidRPr="006A5B66">
        <w:rPr>
          <w:rFonts w:asciiTheme="minorHAnsi" w:hAnsiTheme="minorHAnsi" w:cstheme="minorHAnsi"/>
          <w:b/>
          <w:sz w:val="28"/>
          <w:szCs w:val="22"/>
          <w:u w:val="single"/>
        </w:rPr>
        <w:t>Noter til tabellerne</w:t>
      </w:r>
    </w:p>
    <w:p w14:paraId="00FE090C" w14:textId="77777777" w:rsidR="003F58A9" w:rsidRPr="005F5F99" w:rsidRDefault="003F58A9" w:rsidP="003F58A9">
      <w:pPr>
        <w:jc w:val="both"/>
        <w:rPr>
          <w:rFonts w:asciiTheme="minorHAnsi" w:hAnsiTheme="minorHAnsi" w:cstheme="minorHAnsi"/>
          <w:bCs/>
          <w:sz w:val="22"/>
          <w:szCs w:val="22"/>
          <w:u w:val="single"/>
        </w:rPr>
      </w:pPr>
      <w:r w:rsidRPr="005F5F99">
        <w:rPr>
          <w:rFonts w:asciiTheme="minorHAnsi" w:hAnsiTheme="minorHAnsi" w:cstheme="minorHAnsi"/>
          <w:bCs/>
          <w:sz w:val="22"/>
          <w:szCs w:val="22"/>
          <w:u w:val="single"/>
        </w:rPr>
        <w:t>Tabel C Personale</w:t>
      </w:r>
    </w:p>
    <w:p w14:paraId="747B73E8" w14:textId="59172318" w:rsidR="00F020DD" w:rsidRDefault="00F020DD" w:rsidP="003F58A9">
      <w:pPr>
        <w:jc w:val="both"/>
        <w:rPr>
          <w:rFonts w:asciiTheme="minorHAnsi" w:hAnsiTheme="minorHAnsi" w:cstheme="minorHAnsi"/>
          <w:bCs/>
          <w:sz w:val="22"/>
          <w:szCs w:val="22"/>
        </w:rPr>
      </w:pPr>
      <w:r w:rsidRPr="00F020DD">
        <w:rPr>
          <w:rFonts w:asciiTheme="minorHAnsi" w:hAnsiTheme="minorHAnsi" w:cstheme="minorHAnsi"/>
          <w:bCs/>
          <w:sz w:val="22"/>
          <w:szCs w:val="22"/>
        </w:rPr>
        <w:t xml:space="preserve">RUC bemærker, at medarbejdere, som er ansat på en ordning i henhold til bekendtgørelse om sociale klausuler nr. 932 af 3. juli 2017 medregnes som en fuldtidsansat. Det betyder, at universiteternes (og andre uddannelsessektorer) får et kunstigt højt årsværk i årsrapporterne, og da vi i </w:t>
      </w:r>
      <w:proofErr w:type="spellStart"/>
      <w:r w:rsidRPr="00F020DD">
        <w:rPr>
          <w:rFonts w:asciiTheme="minorHAnsi" w:hAnsiTheme="minorHAnsi" w:cstheme="minorHAnsi"/>
          <w:bCs/>
          <w:sz w:val="22"/>
          <w:szCs w:val="22"/>
        </w:rPr>
        <w:t>DKUNIs</w:t>
      </w:r>
      <w:proofErr w:type="spellEnd"/>
      <w:r w:rsidRPr="00F020DD">
        <w:rPr>
          <w:rFonts w:asciiTheme="minorHAnsi" w:hAnsiTheme="minorHAnsi" w:cstheme="minorHAnsi"/>
          <w:bCs/>
          <w:sz w:val="22"/>
          <w:szCs w:val="22"/>
        </w:rPr>
        <w:t xml:space="preserve"> nøgletal opererer med 1924 timer til et årsværk vil der være forskel mellem antallet af årsværk i årsrapporten og Danske Universiteters Statistiske beredskab.</w:t>
      </w:r>
    </w:p>
    <w:p w14:paraId="79689A27" w14:textId="77777777" w:rsidR="00F020DD" w:rsidRDefault="00F020DD" w:rsidP="003F58A9">
      <w:pPr>
        <w:jc w:val="both"/>
        <w:rPr>
          <w:rFonts w:asciiTheme="minorHAnsi" w:hAnsiTheme="minorHAnsi" w:cstheme="minorHAnsi"/>
          <w:bCs/>
          <w:sz w:val="22"/>
          <w:szCs w:val="22"/>
        </w:rPr>
      </w:pPr>
    </w:p>
    <w:p w14:paraId="202325E7" w14:textId="3F1A923A" w:rsidR="003F58A9" w:rsidRDefault="00F020DD" w:rsidP="003F58A9">
      <w:pPr>
        <w:jc w:val="both"/>
        <w:rPr>
          <w:rFonts w:asciiTheme="minorHAnsi" w:hAnsiTheme="minorHAnsi" w:cstheme="minorHAnsi"/>
          <w:bCs/>
          <w:sz w:val="22"/>
          <w:szCs w:val="22"/>
        </w:rPr>
      </w:pPr>
      <w:r w:rsidRPr="00F020DD">
        <w:rPr>
          <w:rFonts w:asciiTheme="minorHAnsi" w:hAnsiTheme="minorHAnsi" w:cstheme="minorHAnsi"/>
          <w:bCs/>
          <w:sz w:val="22"/>
          <w:szCs w:val="22"/>
        </w:rPr>
        <w:t>CBS bemærker, at årsværk i tabellen vedrørende personale for 2021 og 2022 ikke kan sammenlignes med årsværk i tidligere år som følge af overgang til fælles kontoplan.</w:t>
      </w:r>
    </w:p>
    <w:p w14:paraId="0773E7F7" w14:textId="77777777" w:rsidR="00F020DD" w:rsidRDefault="00F020DD" w:rsidP="003F58A9">
      <w:pPr>
        <w:jc w:val="both"/>
        <w:rPr>
          <w:rFonts w:asciiTheme="minorHAnsi" w:hAnsiTheme="minorHAnsi" w:cstheme="minorHAnsi"/>
          <w:bCs/>
          <w:sz w:val="22"/>
          <w:szCs w:val="22"/>
        </w:rPr>
      </w:pPr>
    </w:p>
    <w:p w14:paraId="495A0ED5" w14:textId="77777777" w:rsidR="00F020DD" w:rsidRDefault="00F020DD" w:rsidP="00F020DD">
      <w:pPr>
        <w:jc w:val="both"/>
        <w:rPr>
          <w:rFonts w:asciiTheme="minorHAnsi" w:hAnsiTheme="minorHAnsi" w:cstheme="minorHAnsi"/>
          <w:bCs/>
          <w:sz w:val="22"/>
          <w:szCs w:val="22"/>
        </w:rPr>
      </w:pPr>
      <w:r w:rsidRPr="00F020DD">
        <w:rPr>
          <w:rFonts w:asciiTheme="minorHAnsi" w:hAnsiTheme="minorHAnsi" w:cstheme="minorHAnsi"/>
          <w:bCs/>
          <w:sz w:val="22"/>
          <w:szCs w:val="22"/>
        </w:rPr>
        <w:t xml:space="preserve">CBS bemærker, at det videnskabelige personales (VIP) årsværk er fordelt mellem uddannelse og forskning. Årsværkene for uddannelse indeholder VIP’ernes erlagte timer til uddannelsesaktiviteter. </w:t>
      </w:r>
    </w:p>
    <w:p w14:paraId="21470386" w14:textId="77777777" w:rsidR="00F020DD" w:rsidRPr="00F020DD" w:rsidRDefault="00F020DD" w:rsidP="00F020DD">
      <w:pPr>
        <w:jc w:val="both"/>
        <w:rPr>
          <w:rFonts w:asciiTheme="minorHAnsi" w:hAnsiTheme="minorHAnsi" w:cstheme="minorHAnsi"/>
          <w:bCs/>
          <w:sz w:val="22"/>
          <w:szCs w:val="22"/>
        </w:rPr>
      </w:pPr>
    </w:p>
    <w:p w14:paraId="5DFB91F4" w14:textId="753C582E" w:rsidR="00F020DD" w:rsidRPr="003F58A9" w:rsidRDefault="00F020DD" w:rsidP="00F020DD">
      <w:pPr>
        <w:jc w:val="both"/>
        <w:rPr>
          <w:rFonts w:asciiTheme="minorHAnsi" w:hAnsiTheme="minorHAnsi" w:cstheme="minorHAnsi"/>
          <w:bCs/>
          <w:sz w:val="22"/>
          <w:szCs w:val="22"/>
        </w:rPr>
      </w:pPr>
      <w:r w:rsidRPr="00F020DD">
        <w:rPr>
          <w:rFonts w:asciiTheme="minorHAnsi" w:hAnsiTheme="minorHAnsi" w:cstheme="minorHAnsi"/>
          <w:bCs/>
          <w:sz w:val="22"/>
          <w:szCs w:val="22"/>
        </w:rPr>
        <w:t>AU har ændret fremgangsmåden til fordelingen af årsværk på formål</w:t>
      </w:r>
      <w:r>
        <w:rPr>
          <w:rFonts w:asciiTheme="minorHAnsi" w:hAnsiTheme="minorHAnsi" w:cstheme="minorHAnsi"/>
          <w:bCs/>
          <w:sz w:val="22"/>
          <w:szCs w:val="22"/>
        </w:rPr>
        <w:t xml:space="preserve"> for 2022</w:t>
      </w:r>
      <w:r w:rsidRPr="00F020DD">
        <w:rPr>
          <w:rFonts w:asciiTheme="minorHAnsi" w:hAnsiTheme="minorHAnsi" w:cstheme="minorHAnsi"/>
          <w:bCs/>
          <w:sz w:val="22"/>
          <w:szCs w:val="22"/>
        </w:rPr>
        <w:t>. Som følge heraf er 2021-tallene blevet korrigeret.</w:t>
      </w:r>
    </w:p>
    <w:p w14:paraId="4C116938" w14:textId="77777777" w:rsidR="005F5F99" w:rsidRPr="005F5F99" w:rsidRDefault="005F5F99" w:rsidP="003F58A9">
      <w:pPr>
        <w:jc w:val="both"/>
        <w:rPr>
          <w:rFonts w:asciiTheme="minorHAnsi" w:hAnsiTheme="minorHAnsi" w:cstheme="minorHAnsi"/>
          <w:bCs/>
          <w:sz w:val="22"/>
          <w:szCs w:val="22"/>
          <w:u w:val="single"/>
        </w:rPr>
      </w:pPr>
    </w:p>
    <w:p w14:paraId="52FE6056" w14:textId="53DB98E6" w:rsidR="005F5F99" w:rsidRPr="005F5F99" w:rsidRDefault="005F5F99" w:rsidP="003F58A9">
      <w:pPr>
        <w:jc w:val="both"/>
        <w:rPr>
          <w:rFonts w:asciiTheme="minorHAnsi" w:hAnsiTheme="minorHAnsi" w:cstheme="minorHAnsi"/>
          <w:bCs/>
          <w:sz w:val="22"/>
          <w:szCs w:val="22"/>
          <w:u w:val="single"/>
        </w:rPr>
      </w:pPr>
      <w:r w:rsidRPr="005F5F99">
        <w:rPr>
          <w:rFonts w:asciiTheme="minorHAnsi" w:hAnsiTheme="minorHAnsi" w:cstheme="minorHAnsi"/>
          <w:bCs/>
          <w:sz w:val="22"/>
          <w:szCs w:val="22"/>
          <w:u w:val="single"/>
        </w:rPr>
        <w:t xml:space="preserve">Tabel </w:t>
      </w:r>
      <w:r w:rsidR="00F020DD">
        <w:rPr>
          <w:rFonts w:asciiTheme="minorHAnsi" w:hAnsiTheme="minorHAnsi" w:cstheme="minorHAnsi"/>
          <w:bCs/>
          <w:sz w:val="22"/>
          <w:szCs w:val="22"/>
          <w:u w:val="single"/>
        </w:rPr>
        <w:t>E</w:t>
      </w:r>
      <w:r w:rsidRPr="005F5F99">
        <w:rPr>
          <w:rFonts w:asciiTheme="minorHAnsi" w:hAnsiTheme="minorHAnsi" w:cstheme="minorHAnsi"/>
          <w:bCs/>
          <w:sz w:val="22"/>
          <w:szCs w:val="22"/>
          <w:u w:val="single"/>
        </w:rPr>
        <w:t xml:space="preserve"> B</w:t>
      </w:r>
      <w:r w:rsidR="00F020DD">
        <w:rPr>
          <w:rFonts w:asciiTheme="minorHAnsi" w:hAnsiTheme="minorHAnsi" w:cstheme="minorHAnsi"/>
          <w:bCs/>
          <w:sz w:val="22"/>
          <w:szCs w:val="22"/>
          <w:u w:val="single"/>
        </w:rPr>
        <w:t>ygninger</w:t>
      </w:r>
    </w:p>
    <w:p w14:paraId="290AFBD1" w14:textId="70D40723" w:rsidR="003F58A9" w:rsidRPr="00F020DD" w:rsidRDefault="00F020DD" w:rsidP="00F020DD">
      <w:pPr>
        <w:rPr>
          <w:rFonts w:asciiTheme="minorHAnsi" w:hAnsiTheme="minorHAnsi" w:cstheme="minorHAnsi"/>
          <w:sz w:val="22"/>
          <w:szCs w:val="22"/>
        </w:rPr>
      </w:pPr>
      <w:r w:rsidRPr="00F020DD">
        <w:rPr>
          <w:rFonts w:asciiTheme="minorHAnsi" w:hAnsiTheme="minorHAnsi" w:cstheme="minorHAnsi"/>
          <w:sz w:val="22"/>
          <w:szCs w:val="22"/>
        </w:rPr>
        <w:t>CBS anvender fra 2022 en ny metode til fordeling af arealer. CBS anvender principperne i det formålsfordelte regnskab til fordeling af m2 på forskning, undervisning og øvrige. Data kan derfor ikke sammenlignes tilbage i tid.</w:t>
      </w:r>
    </w:p>
    <w:p w14:paraId="256B390D" w14:textId="77777777" w:rsidR="003F58A9" w:rsidRDefault="003F58A9" w:rsidP="003F58A9">
      <w:pPr>
        <w:jc w:val="both"/>
        <w:rPr>
          <w:rFonts w:asciiTheme="minorHAnsi" w:hAnsiTheme="minorHAnsi" w:cstheme="minorHAnsi"/>
          <w:b/>
          <w:bCs/>
          <w:color w:val="1F497D"/>
        </w:rPr>
      </w:pPr>
    </w:p>
    <w:p w14:paraId="1D785D13" w14:textId="77777777" w:rsidR="003F58A9" w:rsidRDefault="003F58A9" w:rsidP="003F58A9">
      <w:pPr>
        <w:jc w:val="both"/>
        <w:rPr>
          <w:rFonts w:asciiTheme="minorHAnsi" w:hAnsiTheme="minorHAnsi" w:cstheme="minorHAnsi"/>
          <w:b/>
          <w:bCs/>
          <w:color w:val="1F497D"/>
        </w:rPr>
      </w:pPr>
    </w:p>
    <w:p w14:paraId="2D9761F8" w14:textId="77777777" w:rsidR="003F58A9" w:rsidRPr="005F5F99" w:rsidRDefault="003F58A9" w:rsidP="003F58A9">
      <w:pPr>
        <w:rPr>
          <w:rFonts w:asciiTheme="minorHAnsi" w:hAnsiTheme="minorHAnsi" w:cstheme="minorHAnsi"/>
          <w:sz w:val="22"/>
          <w:szCs w:val="22"/>
          <w:u w:val="single"/>
        </w:rPr>
      </w:pPr>
      <w:r w:rsidRPr="005F5F99">
        <w:rPr>
          <w:rFonts w:asciiTheme="minorHAnsi" w:hAnsiTheme="minorHAnsi" w:cstheme="minorHAnsi"/>
          <w:sz w:val="22"/>
          <w:szCs w:val="22"/>
          <w:u w:val="single"/>
        </w:rPr>
        <w:t>Tabel I Forskeruddannelse</w:t>
      </w:r>
    </w:p>
    <w:p w14:paraId="2396262F" w14:textId="2F5EF4FC" w:rsidR="000A306D" w:rsidRDefault="003F58A9" w:rsidP="001176F8">
      <w:pPr>
        <w:rPr>
          <w:rFonts w:asciiTheme="minorHAnsi" w:hAnsiTheme="minorHAnsi" w:cstheme="minorHAnsi"/>
          <w:sz w:val="22"/>
          <w:szCs w:val="22"/>
        </w:rPr>
      </w:pPr>
      <w:r w:rsidRPr="0001128A">
        <w:rPr>
          <w:rFonts w:asciiTheme="minorHAnsi" w:hAnsiTheme="minorHAnsi" w:cstheme="minorHAnsi"/>
          <w:sz w:val="22"/>
          <w:szCs w:val="22"/>
        </w:rPr>
        <w:t>CBS bemærker, at der for forskerskolerne for året 20</w:t>
      </w:r>
      <w:r w:rsidR="00F020DD">
        <w:rPr>
          <w:rFonts w:asciiTheme="minorHAnsi" w:hAnsiTheme="minorHAnsi" w:cstheme="minorHAnsi"/>
          <w:sz w:val="22"/>
          <w:szCs w:val="22"/>
        </w:rPr>
        <w:t>17</w:t>
      </w:r>
      <w:r w:rsidRPr="0001128A">
        <w:rPr>
          <w:rFonts w:asciiTheme="minorHAnsi" w:hAnsiTheme="minorHAnsi" w:cstheme="minorHAnsi"/>
          <w:sz w:val="22"/>
          <w:szCs w:val="22"/>
        </w:rPr>
        <w:t xml:space="preserve"> og frem kun er indberettet tal på overordnede niveau af hensyn til diskretion.</w:t>
      </w:r>
    </w:p>
    <w:p w14:paraId="660A779E" w14:textId="77777777" w:rsidR="00F020DD" w:rsidRDefault="00F020DD" w:rsidP="001176F8">
      <w:pPr>
        <w:rPr>
          <w:rFonts w:asciiTheme="minorHAnsi" w:hAnsiTheme="minorHAnsi" w:cstheme="minorHAnsi"/>
          <w:sz w:val="22"/>
          <w:szCs w:val="22"/>
        </w:rPr>
      </w:pPr>
    </w:p>
    <w:p w14:paraId="09CFB247" w14:textId="3687FC84" w:rsidR="00F020DD" w:rsidRPr="00F020DD" w:rsidRDefault="00F020DD" w:rsidP="001176F8">
      <w:pPr>
        <w:rPr>
          <w:rFonts w:asciiTheme="minorHAnsi" w:hAnsiTheme="minorHAnsi" w:cstheme="minorHAnsi"/>
          <w:sz w:val="22"/>
          <w:szCs w:val="22"/>
          <w:u w:val="single"/>
        </w:rPr>
      </w:pPr>
      <w:r w:rsidRPr="00F020DD">
        <w:rPr>
          <w:rFonts w:asciiTheme="minorHAnsi" w:hAnsiTheme="minorHAnsi" w:cstheme="minorHAnsi"/>
          <w:sz w:val="22"/>
          <w:szCs w:val="22"/>
          <w:u w:val="single"/>
        </w:rPr>
        <w:t>Tabel K Samarbejde med omverdenen</w:t>
      </w:r>
    </w:p>
    <w:p w14:paraId="0857CF70" w14:textId="1E47D30E" w:rsidR="00F020DD" w:rsidRPr="001176F8" w:rsidRDefault="00F020DD" w:rsidP="001176F8">
      <w:pPr>
        <w:rPr>
          <w:rFonts w:asciiTheme="minorHAnsi" w:hAnsiTheme="minorHAnsi" w:cstheme="minorHAnsi"/>
          <w:sz w:val="22"/>
          <w:szCs w:val="22"/>
        </w:rPr>
      </w:pPr>
      <w:r w:rsidRPr="00F020DD">
        <w:rPr>
          <w:rFonts w:asciiTheme="minorHAnsi" w:hAnsiTheme="minorHAnsi" w:cstheme="minorHAnsi"/>
          <w:sz w:val="22"/>
          <w:szCs w:val="22"/>
        </w:rPr>
        <w:t>AAU har ændret opgørelsesmetode fra og med 2017</w:t>
      </w:r>
      <w:r>
        <w:rPr>
          <w:rFonts w:asciiTheme="minorHAnsi" w:hAnsiTheme="minorHAnsi" w:cstheme="minorHAnsi"/>
          <w:sz w:val="22"/>
          <w:szCs w:val="22"/>
        </w:rPr>
        <w:t xml:space="preserve">, dermed er tallene fra 2017 ikke sammenlignelige med tallene fra før 2017. </w:t>
      </w:r>
    </w:p>
    <w:sectPr w:rsidR="00F020DD" w:rsidRPr="00117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70528"/>
    <w:multiLevelType w:val="hybridMultilevel"/>
    <w:tmpl w:val="09AAF9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202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A9"/>
    <w:rsid w:val="000A306D"/>
    <w:rsid w:val="001176F8"/>
    <w:rsid w:val="001B3703"/>
    <w:rsid w:val="003F58A9"/>
    <w:rsid w:val="004D0CC7"/>
    <w:rsid w:val="005F5F99"/>
    <w:rsid w:val="00A73B89"/>
    <w:rsid w:val="00F02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5090"/>
  <w15:chartTrackingRefBased/>
  <w15:docId w15:val="{7BFF441E-289C-42BE-84C6-F4AF06D7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A9"/>
    <w:pPr>
      <w:spacing w:after="0" w:line="240" w:lineRule="auto"/>
    </w:pPr>
    <w:rPr>
      <w:rFonts w:ascii="Times New Roman" w:eastAsia="Times New Roman" w:hAnsi="Times New Roman" w:cs="Times New Roman"/>
      <w:sz w:val="24"/>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A9"/>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F020DD"/>
    <w:pPr>
      <w:spacing w:after="0" w:line="240" w:lineRule="auto"/>
    </w:pPr>
    <w:rPr>
      <w:rFonts w:ascii="Times New Roman" w:eastAsia="Times New Roman" w:hAnsi="Times New Roman" w:cs="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DTU</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Fisker Lorentzen</dc:creator>
  <cp:keywords/>
  <dc:description/>
  <cp:lastModifiedBy>Daniel Wie Krog</cp:lastModifiedBy>
  <cp:revision>3</cp:revision>
  <dcterms:created xsi:type="dcterms:W3CDTF">2023-06-09T12:05:00Z</dcterms:created>
  <dcterms:modified xsi:type="dcterms:W3CDTF">2023-06-09T12:11:00Z</dcterms:modified>
</cp:coreProperties>
</file>